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risk failure score monitoring;</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data warehouse system)</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w:t>
            </w:r>
            <w:r w:rsidDel="00000000" w:rsidR="00000000" w:rsidRPr="00000000">
              <w:rPr>
                <w:rFonts w:ascii="Arial" w:cs="Arial" w:eastAsia="Arial" w:hAnsi="Arial"/>
                <w:sz w:val="24"/>
                <w:szCs w:val="24"/>
                <w:rtl w:val="0"/>
              </w:rPr>
              <w:t xml:space="preserve">CODA </w:t>
            </w:r>
            <w:r w:rsidDel="00000000" w:rsidR="00000000" w:rsidRPr="00000000">
              <w:rPr>
                <w:rFonts w:ascii="Arial" w:cs="Arial" w:eastAsia="Arial" w:hAnsi="Arial"/>
                <w:sz w:val="24"/>
                <w:szCs w:val="24"/>
                <w:rtl w:val="0"/>
              </w:rPr>
              <w:t xml:space="preserve">system)</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to provide a copy of each completed call-off to the authority within 30 days of being signed by customer and supplier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actions by the dates identified in the Audit Report</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to report metrics for Social Value and Environment initiatives.</w:t>
            </w:r>
          </w:p>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(Metrics to be advised by CCS.)</w:t>
            </w:r>
          </w:p>
        </w:tc>
      </w:tr>
    </w:tbl>
    <w:p w:rsidR="00000000" w:rsidDel="00000000" w:rsidP="00000000" w:rsidRDefault="00000000" w:rsidRPr="00000000" w14:paraId="0000003C">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0">
      <w:pPr>
        <w:keepNext w:val="0"/>
        <w:keepLines w:val="1"/>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1">
      <w:pPr>
        <w:keepNext w:val="1"/>
        <w:keepLines w:val="1"/>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Buyer can’t agree about the performance </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Marketing Contact who shall be responsible for the marketing obligations of the Supplier in relation to this Contract. </w:t>
      </w:r>
    </w:p>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000000" w:rsidDel="00000000" w:rsidP="00000000" w:rsidRDefault="00000000" w:rsidRPr="00000000" w14:paraId="0000005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5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5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5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Agreements.</w:t>
      </w:r>
    </w:p>
    <w:p w:rsidR="00000000" w:rsidDel="00000000" w:rsidP="00000000" w:rsidRDefault="00000000" w:rsidRPr="00000000" w14:paraId="0000006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Agreements.</w:t>
      </w:r>
    </w:p>
    <w:p w:rsidR="00000000" w:rsidDel="00000000" w:rsidP="00000000" w:rsidRDefault="00000000" w:rsidRPr="00000000" w14:paraId="0000006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E">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Agreement and the Supplier recognises that CCS may want to co-ordinate how benchmarking is conducted across multiple Call Off Agreements;</w:t>
      </w:r>
    </w:p>
    <w:p w:rsidR="00000000" w:rsidDel="00000000" w:rsidP="00000000" w:rsidRDefault="00000000" w:rsidRPr="00000000" w14:paraId="0000006F">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tab/>
      <w:t xml:space="preserve">                                           </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spacing w:after="0" w:line="240" w:lineRule="auto"/>
      <w:jc w:val="both"/>
      <w:rPr/>
    </w:pPr>
    <w:r w:rsidDel="00000000" w:rsidR="00000000" w:rsidRPr="00000000">
      <w:rPr>
        <w:rFonts w:ascii="Arial" w:cs="Arial" w:eastAsia="Arial" w:hAnsi="Arial"/>
        <w:sz w:val="20"/>
        <w:szCs w:val="20"/>
        <w:rtl w:val="0"/>
      </w:rPr>
      <w:t xml:space="preserve">Model Version: v3.2</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0ChvanvO1Rw9WvxjqjrhSkGqGw==">AMUW2mWqx9+NwABLIjybqRnINdKPwAiWVsJt63f2LFoLdBTK17L8lTJ6pNGSkgfpG5rJHAjsXFfU2lRGaIqJeVg4vmCipDcrrbx+hV0WqPTJ3kJhGbqdO+XxP2MhEVP+h9l4SlmFV9bL81sHZ3Ocbnqt2TVm15BrXjXVuq17qpOwwHYYR33SnOcqdvCTOj59P4BNgDDTD9dQBLXbHmBRulg2gUmY3GRVi7OpzvVNC13RpQBhw7JcaRs=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2018-03-29T11:23:00Z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